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1DF" w:rsidRPr="00546537" w:rsidRDefault="00A661DF" w:rsidP="00A661DF">
      <w:pPr>
        <w:pStyle w:val="aa"/>
        <w:jc w:val="right"/>
        <w:rPr>
          <w:sz w:val="28"/>
          <w:szCs w:val="28"/>
        </w:rPr>
      </w:pPr>
      <w:r w:rsidRPr="00546537">
        <w:rPr>
          <w:sz w:val="28"/>
          <w:szCs w:val="28"/>
        </w:rPr>
        <w:t xml:space="preserve">Приложение №1 </w:t>
      </w:r>
    </w:p>
    <w:p w:rsidR="000610C6" w:rsidRDefault="00A661DF" w:rsidP="00A661DF">
      <w:pPr>
        <w:pStyle w:val="aa"/>
        <w:jc w:val="right"/>
        <w:rPr>
          <w:sz w:val="28"/>
          <w:szCs w:val="28"/>
        </w:rPr>
      </w:pPr>
      <w:r w:rsidRPr="00546537">
        <w:rPr>
          <w:sz w:val="28"/>
          <w:szCs w:val="28"/>
        </w:rPr>
        <w:t>к Учетной политике</w:t>
      </w:r>
      <w:r w:rsidR="000610C6">
        <w:rPr>
          <w:sz w:val="28"/>
          <w:szCs w:val="28"/>
        </w:rPr>
        <w:t xml:space="preserve"> для целей</w:t>
      </w:r>
    </w:p>
    <w:p w:rsidR="00230D0F" w:rsidRPr="00546537" w:rsidRDefault="000610C6" w:rsidP="00A661D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бюджетного учета</w:t>
      </w:r>
    </w:p>
    <w:p w:rsidR="00230D0F" w:rsidRPr="00546537" w:rsidRDefault="00230D0F" w:rsidP="00230D0F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546537">
        <w:rPr>
          <w:b/>
          <w:bCs/>
          <w:sz w:val="28"/>
          <w:szCs w:val="28"/>
        </w:rPr>
        <w:t>Положение о комиссии по поступлению и выбытию активов</w:t>
      </w:r>
    </w:p>
    <w:p w:rsidR="00230D0F" w:rsidRPr="00546537" w:rsidRDefault="00230D0F" w:rsidP="00230D0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230D0F" w:rsidRPr="00546537" w:rsidRDefault="00230D0F" w:rsidP="00230D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8"/>
          <w:szCs w:val="28"/>
        </w:rPr>
      </w:pPr>
      <w:r w:rsidRPr="00546537">
        <w:rPr>
          <w:b/>
          <w:bCs/>
          <w:sz w:val="28"/>
          <w:szCs w:val="28"/>
        </w:rPr>
        <w:t>1. Общие положения</w:t>
      </w:r>
    </w:p>
    <w:p w:rsidR="00D36F89" w:rsidRPr="00F23E3D" w:rsidRDefault="00230D0F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 xml:space="preserve">1.1. </w:t>
      </w:r>
      <w:r w:rsidR="00D36F89" w:rsidRPr="00F23E3D">
        <w:rPr>
          <w:sz w:val="28"/>
          <w:szCs w:val="28"/>
        </w:rPr>
        <w:t>Основными нормативными правовыми актами, использованными при разработке настоящего Положения, являются:</w:t>
      </w:r>
    </w:p>
    <w:p w:rsidR="00B5205B" w:rsidRPr="00F23E3D" w:rsidRDefault="00D36F89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Инструкция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="007F7EF7" w:rsidRPr="00F23E3D">
        <w:rPr>
          <w:sz w:val="28"/>
          <w:szCs w:val="28"/>
        </w:rPr>
        <w:t>, утвержденная Приказом Минфина РФ от 01.12.2010 № 157н</w:t>
      </w:r>
      <w:r w:rsidR="00B5205B" w:rsidRPr="00F23E3D">
        <w:rPr>
          <w:sz w:val="28"/>
          <w:szCs w:val="28"/>
        </w:rPr>
        <w:t>;</w:t>
      </w:r>
    </w:p>
    <w:p w:rsidR="007F7EF7" w:rsidRPr="00F23E3D" w:rsidRDefault="007F7EF7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Федеральный стандарт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утвержденный Приказом Минфина РФ от 31.12.2016 № 256н;</w:t>
      </w:r>
    </w:p>
    <w:p w:rsidR="00B5205B" w:rsidRPr="00F23E3D" w:rsidRDefault="00B5205B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Федеральный стандарт бухгалтерского учета для организаций государственного сектора «Основные средства», утвержденный Приказом Минфина РФ от 31.12.2016 № 257н;</w:t>
      </w:r>
    </w:p>
    <w:p w:rsidR="00B5205B" w:rsidRPr="00F23E3D" w:rsidRDefault="00B5205B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Федеральный стандарт бухгалтерского учета для организаций государственного сектора «Аренда», утвержденный Приказом Минфина РФ от 31.12.2016 № 258н;</w:t>
      </w:r>
    </w:p>
    <w:p w:rsidR="00230D0F" w:rsidRPr="00F23E3D" w:rsidRDefault="00B5205B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 xml:space="preserve">- Федеральный стандарт бухгалтерского учета для организаций государственного сектора «Обесценение активов», утвержденный Приказом Минфина РФ от 31.12.2016 № 259н. 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 xml:space="preserve">1.2. </w:t>
      </w:r>
      <w:r w:rsidR="00B5205B" w:rsidRPr="00F23E3D">
        <w:rPr>
          <w:sz w:val="28"/>
          <w:szCs w:val="28"/>
        </w:rPr>
        <w:t xml:space="preserve">Состав комиссии по поступлению и выбытию активов (далее - комиссия) приведен в Приложении к Положению о комиссии по поступлению и выбытию активов. </w:t>
      </w:r>
      <w:r w:rsidRPr="00F23E3D">
        <w:rPr>
          <w:sz w:val="28"/>
          <w:szCs w:val="28"/>
        </w:rPr>
        <w:t xml:space="preserve">Комиссию возглавляет председатель, который </w:t>
      </w:r>
      <w:r w:rsidRPr="00F23E3D">
        <w:rPr>
          <w:sz w:val="28"/>
          <w:szCs w:val="28"/>
        </w:rPr>
        <w:lastRenderedPageBreak/>
        <w:t>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1.3. Заседания комиссии проводятся по мере необходимости.</w:t>
      </w:r>
    </w:p>
    <w:p w:rsidR="00764033" w:rsidRPr="00F23E3D" w:rsidRDefault="00764033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1.4. Комиссия принимает решения по поступлению и выбытию нефинансовых активов.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</w:t>
      </w:r>
      <w:r w:rsidR="00764033" w:rsidRPr="00F23E3D">
        <w:rPr>
          <w:sz w:val="28"/>
          <w:szCs w:val="28"/>
        </w:rPr>
        <w:t>5</w:t>
      </w:r>
      <w:r w:rsidRPr="00F23E3D">
        <w:rPr>
          <w:sz w:val="28"/>
          <w:szCs w:val="28"/>
        </w:rPr>
        <w:t>. Срок рассмотрения комиссией представленных ей документов не должен превышать 14 календарных дней.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</w:t>
      </w:r>
      <w:r w:rsidR="00764033" w:rsidRPr="00F23E3D">
        <w:rPr>
          <w:sz w:val="28"/>
          <w:szCs w:val="28"/>
        </w:rPr>
        <w:t>6</w:t>
      </w:r>
      <w:r w:rsidRPr="00F23E3D">
        <w:rPr>
          <w:sz w:val="28"/>
          <w:szCs w:val="28"/>
        </w:rPr>
        <w:t>. Заседание комиссии правомочно при наличии на ее заседании не менее 2/3 членов ее состава.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</w:t>
      </w:r>
      <w:r w:rsidR="00764033" w:rsidRPr="00F23E3D">
        <w:rPr>
          <w:sz w:val="28"/>
          <w:szCs w:val="28"/>
        </w:rPr>
        <w:t>7</w:t>
      </w:r>
      <w:r w:rsidRPr="00F23E3D">
        <w:rPr>
          <w:sz w:val="28"/>
          <w:szCs w:val="28"/>
        </w:rPr>
        <w:t xml:space="preserve">. В случае отсутствия в </w:t>
      </w:r>
      <w:r w:rsidR="00B5205B" w:rsidRPr="00F23E3D">
        <w:rPr>
          <w:sz w:val="28"/>
          <w:szCs w:val="28"/>
        </w:rPr>
        <w:t>учреждении</w:t>
      </w:r>
      <w:r w:rsidRPr="00F23E3D">
        <w:rPr>
          <w:sz w:val="28"/>
          <w:szCs w:val="28"/>
        </w:rPr>
        <w:t xml:space="preserve"> должностных лиц, обладающих специальными знаниями, для участия в заседаниях комиссии могут приглашаться эксперты. Эксперты включаются в состав комиссии на добровольной основе.</w:t>
      </w:r>
      <w:r w:rsidR="00B53C8E" w:rsidRPr="00F23E3D">
        <w:rPr>
          <w:sz w:val="28"/>
          <w:szCs w:val="28"/>
        </w:rPr>
        <w:t xml:space="preserve"> Если договором, заключенным с экспертом, участвующим в работе комиссии, предусмотрена возмездность оказания услуг эксперта, оплата его труда осуществляется в пределах выделенных бюджетных ассигнований. 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</w:t>
      </w:r>
      <w:r w:rsidR="00764033" w:rsidRPr="00F23E3D">
        <w:rPr>
          <w:sz w:val="28"/>
          <w:szCs w:val="28"/>
        </w:rPr>
        <w:t>8</w:t>
      </w:r>
      <w:r w:rsidRPr="00F23E3D">
        <w:rPr>
          <w:sz w:val="28"/>
          <w:szCs w:val="28"/>
        </w:rPr>
        <w:t>. Экспертом не может быть материально ответственное лицо</w:t>
      </w:r>
      <w:bookmarkStart w:id="0" w:name="_GoBack"/>
      <w:bookmarkEnd w:id="0"/>
      <w:r w:rsidRPr="00F23E3D">
        <w:rPr>
          <w:sz w:val="28"/>
          <w:szCs w:val="28"/>
        </w:rPr>
        <w:t>, на которое возложена ответственность за материальные ценности, в отношении которых принимается решение о списании.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1.</w:t>
      </w:r>
      <w:r w:rsidR="00764033" w:rsidRPr="00F23E3D">
        <w:rPr>
          <w:sz w:val="28"/>
          <w:szCs w:val="28"/>
        </w:rPr>
        <w:t>9</w:t>
      </w:r>
      <w:r w:rsidRPr="00F23E3D">
        <w:rPr>
          <w:sz w:val="28"/>
          <w:szCs w:val="28"/>
        </w:rPr>
        <w:t>. Решение комиссии, принятое на заседании, оформляется протоколом, который подписывают председатель и члены комиссии, присутствовавшие на заседании.</w:t>
      </w:r>
      <w:r w:rsidR="00764033" w:rsidRPr="00F23E3D">
        <w:rPr>
          <w:sz w:val="28"/>
          <w:szCs w:val="28"/>
        </w:rPr>
        <w:t xml:space="preserve"> Также комиссия оформляет соответствующие акты о поступлении и выбытии активов.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sz w:val="28"/>
          <w:szCs w:val="28"/>
        </w:rPr>
      </w:pPr>
      <w:r w:rsidRPr="00F23E3D">
        <w:rPr>
          <w:b/>
          <w:bCs/>
          <w:sz w:val="28"/>
          <w:szCs w:val="28"/>
        </w:rPr>
        <w:t>2. Принятие решений по поступлению активов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2.1. В части поступления активов комиссия принимает решения по следующим вопросам: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lastRenderedPageBreak/>
        <w:t>- определение категории нефинансовых активов (основные средства, материальные запасы), к которой относится поступившее имущество;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определение справедливой стоимости безвозмездно полученного имущества</w:t>
      </w:r>
      <w:r w:rsidR="0087363A" w:rsidRPr="00F23E3D">
        <w:rPr>
          <w:sz w:val="28"/>
          <w:szCs w:val="28"/>
        </w:rPr>
        <w:t xml:space="preserve"> и иного имущества в установленных случаях</w:t>
      </w:r>
      <w:r w:rsidRPr="00F23E3D">
        <w:rPr>
          <w:sz w:val="28"/>
          <w:szCs w:val="28"/>
        </w:rPr>
        <w:t>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 xml:space="preserve">- определение первоначальной стоимости </w:t>
      </w:r>
      <w:r w:rsidR="0087363A" w:rsidRPr="00F23E3D">
        <w:rPr>
          <w:sz w:val="28"/>
          <w:szCs w:val="28"/>
        </w:rPr>
        <w:t xml:space="preserve">и метода амортизации </w:t>
      </w:r>
      <w:r w:rsidRPr="00F23E3D">
        <w:rPr>
          <w:sz w:val="28"/>
          <w:szCs w:val="28"/>
        </w:rPr>
        <w:t>поступивших объектов нефинансовых активов;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определение срока полезного использования имущества в целях начисления по ним амортизации в случаях отсутствия информации в законодательстве РФ и документах производителя;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определение размера резерва для оплаты фактически осуществленных на отчетную дату затрат, по которым не поступили документы контрагентов;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дооборудования, реконструкции или модернизации.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2.2. 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2.3. 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lastRenderedPageBreak/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Справедливая стоимость имущества определяется комиссией по поступлению и выбытию активов методом рыночных цен</w:t>
      </w:r>
      <w:r w:rsidR="00BA404F" w:rsidRPr="00F23E3D">
        <w:rPr>
          <w:sz w:val="28"/>
          <w:szCs w:val="28"/>
        </w:rPr>
        <w:t>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sz w:val="28"/>
          <w:szCs w:val="28"/>
        </w:rPr>
      </w:pPr>
      <w:r w:rsidRPr="00F23E3D">
        <w:rPr>
          <w:b/>
          <w:bCs/>
          <w:sz w:val="28"/>
          <w:szCs w:val="28"/>
        </w:rPr>
        <w:t>3. Принятие решений по выбытию (списанию) активов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jc w:val="center"/>
        <w:rPr>
          <w:sz w:val="28"/>
          <w:szCs w:val="28"/>
        </w:rPr>
      </w:pPr>
      <w:r w:rsidRPr="00F23E3D">
        <w:rPr>
          <w:b/>
          <w:bCs/>
          <w:sz w:val="28"/>
          <w:szCs w:val="28"/>
        </w:rPr>
        <w:t>и списанию задолженности неплатежеспособных дебиторов</w:t>
      </w:r>
    </w:p>
    <w:p w:rsidR="00230D0F" w:rsidRPr="00F23E3D" w:rsidRDefault="00230D0F" w:rsidP="00F23E3D">
      <w:pPr>
        <w:autoSpaceDE w:val="0"/>
        <w:autoSpaceDN w:val="0"/>
        <w:adjustRightInd w:val="0"/>
        <w:spacing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3.1. В части выбытия (списания) активов и задолженности комиссия принимает решения по следующим вопросам: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возможности использования отдельных узлов, деталей, конструкций и материалов, полученных в результате списания объектов нефинансовых активов;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частичной ликвидации (разукомплектации) основных средств;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пригодности дальнейшего использования имущества, возможности и эффективности его восстановления;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 xml:space="preserve">3.2. Решение о выбытии имущества </w:t>
      </w:r>
      <w:r w:rsidR="001429C9" w:rsidRPr="00F23E3D">
        <w:rPr>
          <w:sz w:val="28"/>
          <w:szCs w:val="28"/>
        </w:rPr>
        <w:t>учреждения</w:t>
      </w:r>
      <w:r w:rsidRPr="00F23E3D">
        <w:rPr>
          <w:sz w:val="28"/>
          <w:szCs w:val="28"/>
        </w:rPr>
        <w:t xml:space="preserve"> принимается: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если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lastRenderedPageBreak/>
        <w:t>- если имущество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при невозможности выяснения его местонахождения;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если имущество передается государственному (муниципальному) учреждению, органу государственной власти, органу местного самоуправления, государственному (муниципальному) предприятию;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в других случаях, предусмотренных законодательством РФ.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3.3. Решение о списании имущества принимается комиссией после проведения следующих мероприятий: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230D0F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B23AF1" w:rsidRPr="00F23E3D" w:rsidRDefault="00230D0F" w:rsidP="00F23E3D">
      <w:pPr>
        <w:autoSpaceDE w:val="0"/>
        <w:autoSpaceDN w:val="0"/>
        <w:adjustRightInd w:val="0"/>
        <w:spacing w:before="200" w:after="0" w:line="360" w:lineRule="auto"/>
        <w:ind w:firstLine="540"/>
        <w:rPr>
          <w:sz w:val="28"/>
          <w:szCs w:val="28"/>
        </w:rPr>
      </w:pPr>
      <w:r w:rsidRPr="00F23E3D">
        <w:rPr>
          <w:sz w:val="28"/>
          <w:szCs w:val="28"/>
        </w:rPr>
        <w:t>- установление виновных лиц, действия которых привели к необходимости списания</w:t>
      </w:r>
      <w:r w:rsidR="00B23AF1" w:rsidRPr="00F23E3D">
        <w:rPr>
          <w:sz w:val="28"/>
          <w:szCs w:val="28"/>
        </w:rPr>
        <w:t>;</w:t>
      </w:r>
    </w:p>
    <w:p w:rsidR="00B23AF1" w:rsidRPr="00F23E3D" w:rsidRDefault="00230D0F" w:rsidP="00F23E3D">
      <w:pPr>
        <w:spacing w:line="360" w:lineRule="auto"/>
        <w:rPr>
          <w:sz w:val="28"/>
          <w:szCs w:val="28"/>
        </w:rPr>
      </w:pPr>
      <w:r w:rsidRPr="00F23E3D">
        <w:rPr>
          <w:sz w:val="28"/>
          <w:szCs w:val="28"/>
        </w:rPr>
        <w:t xml:space="preserve"> </w:t>
      </w:r>
      <w:r w:rsidR="00B23AF1" w:rsidRPr="00F23E3D">
        <w:rPr>
          <w:sz w:val="28"/>
          <w:szCs w:val="28"/>
        </w:rPr>
        <w:t>- подготовка документов, необходимых для принятия решения о списании имущества. -.</w:t>
      </w:r>
    </w:p>
    <w:p w:rsidR="00B23AF1" w:rsidRDefault="00B23AF1" w:rsidP="00F23E3D">
      <w:pPr>
        <w:spacing w:line="360" w:lineRule="auto"/>
        <w:rPr>
          <w:sz w:val="28"/>
          <w:szCs w:val="28"/>
        </w:rPr>
      </w:pPr>
    </w:p>
    <w:p w:rsidR="00F23E3D" w:rsidRDefault="00F23E3D" w:rsidP="00F23E3D">
      <w:pPr>
        <w:spacing w:line="360" w:lineRule="auto"/>
        <w:rPr>
          <w:sz w:val="28"/>
          <w:szCs w:val="28"/>
        </w:rPr>
      </w:pPr>
    </w:p>
    <w:p w:rsidR="00F23E3D" w:rsidRDefault="00F23E3D" w:rsidP="00F23E3D">
      <w:pPr>
        <w:spacing w:line="360" w:lineRule="auto"/>
        <w:rPr>
          <w:sz w:val="28"/>
          <w:szCs w:val="28"/>
        </w:rPr>
      </w:pPr>
    </w:p>
    <w:p w:rsidR="00F23E3D" w:rsidRDefault="00F23E3D" w:rsidP="00F23E3D">
      <w:pPr>
        <w:spacing w:line="360" w:lineRule="auto"/>
        <w:rPr>
          <w:sz w:val="28"/>
          <w:szCs w:val="28"/>
        </w:rPr>
      </w:pPr>
    </w:p>
    <w:p w:rsidR="00F23E3D" w:rsidRPr="00F23E3D" w:rsidRDefault="00F23E3D" w:rsidP="00F23E3D">
      <w:pPr>
        <w:spacing w:line="360" w:lineRule="auto"/>
        <w:rPr>
          <w:sz w:val="28"/>
          <w:szCs w:val="28"/>
        </w:rPr>
      </w:pPr>
    </w:p>
    <w:p w:rsidR="001429C9" w:rsidRPr="00F23E3D" w:rsidRDefault="00BA404F" w:rsidP="00F23E3D">
      <w:pPr>
        <w:pStyle w:val="aa"/>
        <w:spacing w:line="360" w:lineRule="auto"/>
        <w:jc w:val="right"/>
        <w:rPr>
          <w:sz w:val="28"/>
          <w:szCs w:val="28"/>
        </w:rPr>
      </w:pPr>
      <w:r w:rsidRPr="00F23E3D">
        <w:rPr>
          <w:sz w:val="28"/>
          <w:szCs w:val="28"/>
        </w:rPr>
        <w:lastRenderedPageBreak/>
        <w:t xml:space="preserve">                                                                  </w:t>
      </w:r>
      <w:r w:rsidR="001429C9" w:rsidRPr="00F23E3D">
        <w:rPr>
          <w:sz w:val="28"/>
          <w:szCs w:val="28"/>
        </w:rPr>
        <w:t xml:space="preserve">Приложение </w:t>
      </w:r>
    </w:p>
    <w:p w:rsidR="001429C9" w:rsidRPr="00F23E3D" w:rsidRDefault="001429C9" w:rsidP="00F23E3D">
      <w:pPr>
        <w:pStyle w:val="aa"/>
        <w:spacing w:line="360" w:lineRule="auto"/>
        <w:jc w:val="right"/>
        <w:rPr>
          <w:sz w:val="28"/>
          <w:szCs w:val="28"/>
        </w:rPr>
      </w:pPr>
      <w:r w:rsidRPr="00F23E3D">
        <w:rPr>
          <w:sz w:val="28"/>
          <w:szCs w:val="28"/>
        </w:rPr>
        <w:t xml:space="preserve">                                                                                  </w:t>
      </w:r>
      <w:r w:rsidR="00BA404F" w:rsidRPr="00F23E3D">
        <w:rPr>
          <w:sz w:val="28"/>
          <w:szCs w:val="28"/>
        </w:rPr>
        <w:t xml:space="preserve">       </w:t>
      </w:r>
      <w:r w:rsidRPr="00F23E3D">
        <w:rPr>
          <w:sz w:val="28"/>
          <w:szCs w:val="28"/>
        </w:rPr>
        <w:t xml:space="preserve">к Положению о комиссии </w:t>
      </w:r>
    </w:p>
    <w:p w:rsidR="004B7A3A" w:rsidRPr="00F23E3D" w:rsidRDefault="004B7A3A" w:rsidP="00F23E3D">
      <w:pPr>
        <w:pStyle w:val="aa"/>
        <w:spacing w:line="360" w:lineRule="auto"/>
        <w:jc w:val="right"/>
        <w:rPr>
          <w:sz w:val="28"/>
          <w:szCs w:val="28"/>
        </w:rPr>
      </w:pPr>
      <w:r w:rsidRPr="00F23E3D">
        <w:rPr>
          <w:sz w:val="28"/>
          <w:szCs w:val="28"/>
        </w:rPr>
        <w:t xml:space="preserve">             </w:t>
      </w:r>
      <w:r w:rsidR="001429C9" w:rsidRPr="00F23E3D">
        <w:rPr>
          <w:sz w:val="28"/>
          <w:szCs w:val="28"/>
        </w:rPr>
        <w:t>по поступлению и</w:t>
      </w:r>
    </w:p>
    <w:p w:rsidR="001429C9" w:rsidRPr="00F23E3D" w:rsidRDefault="001429C9" w:rsidP="00F23E3D">
      <w:pPr>
        <w:pStyle w:val="aa"/>
        <w:spacing w:line="360" w:lineRule="auto"/>
        <w:jc w:val="right"/>
        <w:rPr>
          <w:sz w:val="28"/>
          <w:szCs w:val="28"/>
        </w:rPr>
      </w:pPr>
      <w:r w:rsidRPr="00F23E3D">
        <w:rPr>
          <w:sz w:val="28"/>
          <w:szCs w:val="28"/>
        </w:rPr>
        <w:t xml:space="preserve"> выбытию активов</w:t>
      </w:r>
    </w:p>
    <w:p w:rsidR="00115FEE" w:rsidRPr="00F23E3D" w:rsidRDefault="00115FEE" w:rsidP="00F23E3D">
      <w:pPr>
        <w:pStyle w:val="aa"/>
        <w:spacing w:line="360" w:lineRule="auto"/>
        <w:jc w:val="both"/>
        <w:rPr>
          <w:b/>
          <w:sz w:val="28"/>
          <w:szCs w:val="28"/>
        </w:rPr>
      </w:pPr>
      <w:r w:rsidRPr="00F23E3D">
        <w:rPr>
          <w:sz w:val="28"/>
          <w:szCs w:val="28"/>
        </w:rPr>
        <w:t xml:space="preserve">           </w:t>
      </w:r>
      <w:r w:rsidRPr="00F23E3D">
        <w:rPr>
          <w:b/>
          <w:sz w:val="28"/>
          <w:szCs w:val="28"/>
        </w:rPr>
        <w:t>Состав комиссии по поступлению и выбытию активов:</w:t>
      </w:r>
    </w:p>
    <w:p w:rsidR="00115FEE" w:rsidRPr="00F23E3D" w:rsidRDefault="00115FEE" w:rsidP="00F23E3D">
      <w:pPr>
        <w:pStyle w:val="aa"/>
        <w:spacing w:line="360" w:lineRule="auto"/>
        <w:jc w:val="both"/>
        <w:rPr>
          <w:b/>
          <w:sz w:val="28"/>
          <w:szCs w:val="28"/>
        </w:rPr>
      </w:pPr>
    </w:p>
    <w:p w:rsidR="00115FEE" w:rsidRPr="00F23E3D" w:rsidRDefault="00115FEE" w:rsidP="00F23E3D">
      <w:pPr>
        <w:pStyle w:val="aa"/>
        <w:spacing w:line="360" w:lineRule="auto"/>
        <w:jc w:val="both"/>
        <w:rPr>
          <w:sz w:val="28"/>
          <w:szCs w:val="28"/>
        </w:rPr>
      </w:pPr>
      <w:r w:rsidRPr="00F23E3D">
        <w:rPr>
          <w:sz w:val="28"/>
          <w:szCs w:val="28"/>
        </w:rPr>
        <w:t>Председатель комиссии:</w:t>
      </w:r>
    </w:p>
    <w:p w:rsidR="00115FEE" w:rsidRPr="00F23E3D" w:rsidRDefault="00BA404F" w:rsidP="00F23E3D">
      <w:pPr>
        <w:pStyle w:val="aa"/>
        <w:spacing w:line="360" w:lineRule="auto"/>
        <w:jc w:val="both"/>
        <w:rPr>
          <w:sz w:val="28"/>
          <w:szCs w:val="28"/>
        </w:rPr>
      </w:pPr>
      <w:r w:rsidRPr="00F23E3D">
        <w:rPr>
          <w:sz w:val="28"/>
          <w:szCs w:val="28"/>
        </w:rPr>
        <w:t>Игошина Н.А</w:t>
      </w:r>
      <w:r w:rsidR="00115FEE" w:rsidRPr="00F23E3D">
        <w:rPr>
          <w:sz w:val="28"/>
          <w:szCs w:val="28"/>
        </w:rPr>
        <w:t>. –</w:t>
      </w:r>
      <w:r w:rsidRPr="00F23E3D">
        <w:rPr>
          <w:sz w:val="28"/>
          <w:szCs w:val="28"/>
        </w:rPr>
        <w:t xml:space="preserve"> </w:t>
      </w:r>
      <w:r w:rsidR="00115FEE" w:rsidRPr="00F23E3D">
        <w:rPr>
          <w:sz w:val="28"/>
          <w:szCs w:val="28"/>
        </w:rPr>
        <w:t xml:space="preserve"> начальник финансового управления    </w:t>
      </w:r>
    </w:p>
    <w:p w:rsidR="00115FEE" w:rsidRPr="00F23E3D" w:rsidRDefault="00115FEE" w:rsidP="00F23E3D">
      <w:pPr>
        <w:pStyle w:val="aa"/>
        <w:spacing w:line="360" w:lineRule="auto"/>
        <w:jc w:val="both"/>
        <w:rPr>
          <w:sz w:val="28"/>
          <w:szCs w:val="28"/>
        </w:rPr>
      </w:pPr>
      <w:r w:rsidRPr="00F23E3D">
        <w:rPr>
          <w:sz w:val="28"/>
          <w:szCs w:val="28"/>
        </w:rPr>
        <w:t>Члены комиссии:</w:t>
      </w:r>
    </w:p>
    <w:p w:rsidR="00115FEE" w:rsidRPr="00F23E3D" w:rsidRDefault="00BA404F" w:rsidP="00F23E3D">
      <w:pPr>
        <w:pStyle w:val="aa"/>
        <w:spacing w:line="360" w:lineRule="auto"/>
        <w:jc w:val="both"/>
        <w:rPr>
          <w:sz w:val="28"/>
          <w:szCs w:val="28"/>
        </w:rPr>
      </w:pPr>
      <w:r w:rsidRPr="00F23E3D">
        <w:rPr>
          <w:sz w:val="28"/>
          <w:szCs w:val="28"/>
        </w:rPr>
        <w:t>Кудряшова И.В.</w:t>
      </w:r>
      <w:r w:rsidR="00115FEE" w:rsidRPr="00F23E3D">
        <w:rPr>
          <w:sz w:val="28"/>
          <w:szCs w:val="28"/>
        </w:rPr>
        <w:t xml:space="preserve"> – </w:t>
      </w:r>
      <w:r w:rsidRPr="00F23E3D">
        <w:rPr>
          <w:sz w:val="28"/>
          <w:szCs w:val="28"/>
        </w:rPr>
        <w:t>заведующий сектором казначейского исполнения бюджета</w:t>
      </w:r>
    </w:p>
    <w:p w:rsidR="00115FEE" w:rsidRPr="00F23E3D" w:rsidRDefault="00E56FBE" w:rsidP="00F23E3D">
      <w:pPr>
        <w:pStyle w:val="aa"/>
        <w:spacing w:line="360" w:lineRule="auto"/>
        <w:jc w:val="both"/>
        <w:rPr>
          <w:sz w:val="28"/>
          <w:szCs w:val="28"/>
        </w:rPr>
      </w:pPr>
      <w:r w:rsidRPr="00F23E3D">
        <w:rPr>
          <w:sz w:val="28"/>
          <w:szCs w:val="28"/>
        </w:rPr>
        <w:t>Краева Е.В.</w:t>
      </w:r>
      <w:r w:rsidR="00115FEE" w:rsidRPr="00F23E3D">
        <w:rPr>
          <w:sz w:val="28"/>
          <w:szCs w:val="28"/>
        </w:rPr>
        <w:t xml:space="preserve"> – главный специалист </w:t>
      </w:r>
      <w:r w:rsidRPr="00F23E3D">
        <w:rPr>
          <w:sz w:val="28"/>
          <w:szCs w:val="28"/>
        </w:rPr>
        <w:t>сектора бухгалтерского учета и контроля</w:t>
      </w:r>
    </w:p>
    <w:sectPr w:rsidR="00115FEE" w:rsidRPr="00F23E3D">
      <w:footnotePr>
        <w:numRestart w:val="eachSect"/>
      </w:footnotePr>
      <w:pgSz w:w="11907" w:h="16839" w:code="9"/>
      <w:pgMar w:top="1134" w:right="850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F1" w:rsidRDefault="007022F1">
      <w:pPr>
        <w:spacing w:before="0" w:after="0" w:line="240" w:lineRule="auto"/>
      </w:pPr>
      <w:r>
        <w:separator/>
      </w:r>
    </w:p>
  </w:endnote>
  <w:endnote w:type="continuationSeparator" w:id="0">
    <w:p w:rsidR="007022F1" w:rsidRDefault="007022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F1" w:rsidRDefault="007022F1">
      <w:pPr>
        <w:spacing w:before="0" w:after="0" w:line="240" w:lineRule="auto"/>
      </w:pPr>
      <w:r>
        <w:separator/>
      </w:r>
    </w:p>
  </w:footnote>
  <w:footnote w:type="continuationSeparator" w:id="0">
    <w:p w:rsidR="007022F1" w:rsidRDefault="007022F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 w15:restartNumberingAfterBreak="0">
    <w:nsid w:val="00000004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 w15:restartNumberingAfterBreak="0">
    <w:nsid w:val="00000005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00000008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 w15:restartNumberingAfterBreak="0">
    <w:nsid w:val="00000009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0000000A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000000B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0000000C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 w15:restartNumberingAfterBreak="0">
    <w:nsid w:val="1EA01E8A"/>
    <w:multiLevelType w:val="hybridMultilevel"/>
    <w:tmpl w:val="6A12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4BD"/>
    <w:multiLevelType w:val="multilevel"/>
    <w:tmpl w:val="E0F47F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4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5" w15:restartNumberingAfterBreak="0">
    <w:nsid w:val="53CB5083"/>
    <w:multiLevelType w:val="hybridMultilevel"/>
    <w:tmpl w:val="A58C7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B2D87"/>
    <w:multiLevelType w:val="hybridMultilevel"/>
    <w:tmpl w:val="698A5240"/>
    <w:lvl w:ilvl="0" w:tplc="9FFE7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D19F2"/>
    <w:multiLevelType w:val="multilevel"/>
    <w:tmpl w:val="0CA20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5"/>
  </w:num>
  <w:num w:numId="34">
    <w:abstractNumId w:val="17"/>
  </w:num>
  <w:num w:numId="35">
    <w:abstractNumId w:val="1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22"/>
    <w:rsid w:val="00046A55"/>
    <w:rsid w:val="00047618"/>
    <w:rsid w:val="00050DE0"/>
    <w:rsid w:val="000610C6"/>
    <w:rsid w:val="000877CE"/>
    <w:rsid w:val="000A2B04"/>
    <w:rsid w:val="00115FEE"/>
    <w:rsid w:val="001249A1"/>
    <w:rsid w:val="001429C9"/>
    <w:rsid w:val="00197175"/>
    <w:rsid w:val="0021199A"/>
    <w:rsid w:val="00217171"/>
    <w:rsid w:val="002249FE"/>
    <w:rsid w:val="00230927"/>
    <w:rsid w:val="00230D0F"/>
    <w:rsid w:val="002D3EE6"/>
    <w:rsid w:val="00302A74"/>
    <w:rsid w:val="00393928"/>
    <w:rsid w:val="00396841"/>
    <w:rsid w:val="003E78FA"/>
    <w:rsid w:val="00411960"/>
    <w:rsid w:val="00437EA0"/>
    <w:rsid w:val="004B7A3A"/>
    <w:rsid w:val="004D449A"/>
    <w:rsid w:val="004D6933"/>
    <w:rsid w:val="004E3920"/>
    <w:rsid w:val="00523696"/>
    <w:rsid w:val="00525C66"/>
    <w:rsid w:val="00546537"/>
    <w:rsid w:val="00563DC2"/>
    <w:rsid w:val="00567E22"/>
    <w:rsid w:val="00593865"/>
    <w:rsid w:val="005B6117"/>
    <w:rsid w:val="005E6D85"/>
    <w:rsid w:val="005E723F"/>
    <w:rsid w:val="00625590"/>
    <w:rsid w:val="00641617"/>
    <w:rsid w:val="006628F1"/>
    <w:rsid w:val="00664138"/>
    <w:rsid w:val="00685FF7"/>
    <w:rsid w:val="006B3A12"/>
    <w:rsid w:val="006D1C2A"/>
    <w:rsid w:val="006F18EC"/>
    <w:rsid w:val="007022F1"/>
    <w:rsid w:val="00726260"/>
    <w:rsid w:val="00736071"/>
    <w:rsid w:val="00764033"/>
    <w:rsid w:val="007E2865"/>
    <w:rsid w:val="007F7EF7"/>
    <w:rsid w:val="00810CA5"/>
    <w:rsid w:val="00823731"/>
    <w:rsid w:val="00827D1B"/>
    <w:rsid w:val="0087363A"/>
    <w:rsid w:val="00881316"/>
    <w:rsid w:val="00887D03"/>
    <w:rsid w:val="008A5E03"/>
    <w:rsid w:val="008C699B"/>
    <w:rsid w:val="008F172A"/>
    <w:rsid w:val="0091057F"/>
    <w:rsid w:val="009135D7"/>
    <w:rsid w:val="00960F60"/>
    <w:rsid w:val="00971D37"/>
    <w:rsid w:val="00991EB0"/>
    <w:rsid w:val="009B0FA0"/>
    <w:rsid w:val="009D6D29"/>
    <w:rsid w:val="009E7BA8"/>
    <w:rsid w:val="00A15704"/>
    <w:rsid w:val="00A31A36"/>
    <w:rsid w:val="00A47E15"/>
    <w:rsid w:val="00A5079B"/>
    <w:rsid w:val="00A659E8"/>
    <w:rsid w:val="00A661DF"/>
    <w:rsid w:val="00A83F30"/>
    <w:rsid w:val="00A94EB4"/>
    <w:rsid w:val="00AA51A0"/>
    <w:rsid w:val="00AA7824"/>
    <w:rsid w:val="00AC076A"/>
    <w:rsid w:val="00AC2B77"/>
    <w:rsid w:val="00B23AF1"/>
    <w:rsid w:val="00B5205B"/>
    <w:rsid w:val="00B53C8E"/>
    <w:rsid w:val="00B670D0"/>
    <w:rsid w:val="00B7277A"/>
    <w:rsid w:val="00B7576A"/>
    <w:rsid w:val="00BA0D17"/>
    <w:rsid w:val="00BA1B69"/>
    <w:rsid w:val="00BA404F"/>
    <w:rsid w:val="00BB3CA8"/>
    <w:rsid w:val="00BB54D3"/>
    <w:rsid w:val="00BD053F"/>
    <w:rsid w:val="00BD4D2E"/>
    <w:rsid w:val="00BF4DD3"/>
    <w:rsid w:val="00C21F75"/>
    <w:rsid w:val="00C25AF6"/>
    <w:rsid w:val="00C95107"/>
    <w:rsid w:val="00C957FC"/>
    <w:rsid w:val="00CF1443"/>
    <w:rsid w:val="00D01105"/>
    <w:rsid w:val="00D36F89"/>
    <w:rsid w:val="00DA2E82"/>
    <w:rsid w:val="00DC6C69"/>
    <w:rsid w:val="00DC7B56"/>
    <w:rsid w:val="00DD2AE8"/>
    <w:rsid w:val="00DE6EF1"/>
    <w:rsid w:val="00DE7B13"/>
    <w:rsid w:val="00E56FBE"/>
    <w:rsid w:val="00E865CB"/>
    <w:rsid w:val="00EA5537"/>
    <w:rsid w:val="00EE37AB"/>
    <w:rsid w:val="00F23E3D"/>
    <w:rsid w:val="00F5533E"/>
    <w:rsid w:val="00F555C4"/>
    <w:rsid w:val="00F60CE7"/>
    <w:rsid w:val="00F958A7"/>
    <w:rsid w:val="00FB3343"/>
    <w:rsid w:val="00FE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582AA2-1B23-4DE3-9F25-F782F9D57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39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39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uiPriority w:val="9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D011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01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3FDD2-28A8-413A-B561-8380655D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SPecialiST RePack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RePack by Diakov</dc:creator>
  <dc:description>Консультант Плюс - Конструктор Договоров</dc:description>
  <cp:lastModifiedBy>Пользователь</cp:lastModifiedBy>
  <cp:revision>12</cp:revision>
  <cp:lastPrinted>2023-08-24T05:06:00Z</cp:lastPrinted>
  <dcterms:created xsi:type="dcterms:W3CDTF">2024-02-27T12:07:00Z</dcterms:created>
  <dcterms:modified xsi:type="dcterms:W3CDTF">2024-04-05T06:18:00Z</dcterms:modified>
</cp:coreProperties>
</file>